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81E3B"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Thực hiện công tác quản lý và kiểm soát ăn mòn đối với thiết bị tĩnh, đường ống và các hệ thống công nghệ trong nhà máy nhằm đảm bảo tính toàn vẹn, độ tin cậy và an toàn vận hành.</w:t>
      </w:r>
    </w:p>
    <w:p w14:paraId="208C6D04"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Theo dõi, đánh giá tình trạng ăn mòn của thiết bị thông qua dữ liệu kiểm tra, giám sát và kết quả phân tích kỹ thuật; xác định nguyên nhân và đề xuất giải pháp khắc phục phù hợp.</w:t>
      </w:r>
    </w:p>
    <w:p w14:paraId="463EF30B"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Xây dựng, cập nhật và triển khai các chương trình kiểm soát ăn mòn, chương trình giám sát vật liệu theo tiêu chuẩn và quy định của nhà máy.</w:t>
      </w:r>
    </w:p>
    <w:p w14:paraId="77FEB67F"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Đánh giá mức độ hư hỏng, suy giảm vật liệu; thực hiện phân tích cơ chế ăn mòn và dự báo tuổi thọ còn lại của thiết bị.</w:t>
      </w:r>
    </w:p>
    <w:p w14:paraId="01AC2D9C"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Phối hợp với các bộ phận Vận hành, Bảo dưỡng, Kiểm định và Kỹ thuật để xử lý các vấn đề liên quan đến ăn mòn, vật liệu và tính toàn vẹn thiết bị.</w:t>
      </w:r>
    </w:p>
    <w:p w14:paraId="455E7CBC"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Đề xuất lựa chọn vật liệu phù hợp cho thiết bị, đường ống và các hạng mục kỹ thuật mới; tham gia rà soát thiết kế nhằm hạn chế nguy cơ ăn mòn trong quá trình vận hành.</w:t>
      </w:r>
    </w:p>
    <w:p w14:paraId="54E40194"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Tham gia đánh giá rủi ro, điều tra sự cố liên quan đến ăn mòn, hư hỏng vật liệu; đề xuất các biện pháp phòng ngừa và cải tiến nhằm nâng cao độ tin cậy của hệ thống.</w:t>
      </w:r>
    </w:p>
    <w:p w14:paraId="4A1D6DF8"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Xem xét và áp dụng các tiêu chuẩn, quy chuẩn và thông lệ quốc tế liên quan đến quản lý ăn mòn và vật liệu như API, NACE/AMPP và các yêu cầu nội bộ của nhà máy.</w:t>
      </w:r>
    </w:p>
    <w:p w14:paraId="6610AFD0"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Theo dõi và đánh giá hiệu quả của các biện pháp bảo vệ chống ăn mòn như lớp phủ bảo vệ, hóa chất ức chế ăn mòn và hệ thống bảo vệ cathodic (nếu có).</w:t>
      </w:r>
    </w:p>
    <w:p w14:paraId="2935ADE8"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Chuẩn bị báo cáo kỹ thuật, hồ sơ đánh giá ăn mòn, hồ sơ kiểm tra và trình bày các khuyến nghị kỹ thuật cho cấp quản lý.</w:t>
      </w:r>
    </w:p>
    <w:p w14:paraId="0B5D73FA"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Hỗ trợ đào tạo, hướng dẫn kỹ thuật và chia sẻ kiến thức liên quan đến kiểm soát ăn mòn cho các bộ phận liên quan khi được phân công.</w:t>
      </w:r>
    </w:p>
    <w:p w14:paraId="1B36F75E" w14:textId="77777777" w:rsidR="006B7BE4" w:rsidRPr="006B7BE4" w:rsidRDefault="006B7BE4" w:rsidP="006B7BE4">
      <w:pPr>
        <w:numPr>
          <w:ilvl w:val="0"/>
          <w:numId w:val="1"/>
        </w:numPr>
        <w:rPr>
          <w:rFonts w:ascii="Times New Roman" w:hAnsi="Times New Roman" w:cs="Times New Roman"/>
        </w:rPr>
      </w:pPr>
      <w:r w:rsidRPr="006B7BE4">
        <w:rPr>
          <w:rFonts w:ascii="Times New Roman" w:hAnsi="Times New Roman" w:cs="Times New Roman"/>
        </w:rPr>
        <w:t>Thực hiện các nhiệm vụ khác theo yêu cầu của cấp quản lý trực tiếp nhằm đáp ứng mục tiêu vận hành an toàn và hiệu quả của nhà máy.</w:t>
      </w:r>
    </w:p>
    <w:p w14:paraId="784E5227" w14:textId="77777777" w:rsidR="00125405" w:rsidRPr="006B7BE4" w:rsidRDefault="00125405">
      <w:pPr>
        <w:rPr>
          <w:rFonts w:ascii="Times New Roman" w:hAnsi="Times New Roman" w:cs="Times New Roman"/>
        </w:rPr>
      </w:pPr>
    </w:p>
    <w:sectPr w:rsidR="00125405" w:rsidRPr="006B7BE4" w:rsidSect="0075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17B28"/>
    <w:multiLevelType w:val="multilevel"/>
    <w:tmpl w:val="E32A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36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E4"/>
    <w:rsid w:val="00125405"/>
    <w:rsid w:val="003861CB"/>
    <w:rsid w:val="00597AA3"/>
    <w:rsid w:val="00696BC8"/>
    <w:rsid w:val="006B7BE4"/>
    <w:rsid w:val="00754EAF"/>
    <w:rsid w:val="009A5313"/>
    <w:rsid w:val="009A6758"/>
    <w:rsid w:val="00D671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5908"/>
  <w15:chartTrackingRefBased/>
  <w15:docId w15:val="{70A70042-83F3-4BA3-8FD3-823CEB28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B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7B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7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7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7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7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B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B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7B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7B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7B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7B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7B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B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B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BE4"/>
    <w:rPr>
      <w:rFonts w:eastAsiaTheme="majorEastAsia" w:cstheme="majorBidi"/>
      <w:color w:val="272727" w:themeColor="text1" w:themeTint="D8"/>
    </w:rPr>
  </w:style>
  <w:style w:type="paragraph" w:styleId="Title">
    <w:name w:val="Title"/>
    <w:basedOn w:val="Normal"/>
    <w:next w:val="Normal"/>
    <w:link w:val="TitleChar"/>
    <w:uiPriority w:val="10"/>
    <w:qFormat/>
    <w:rsid w:val="006B7B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B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B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BE4"/>
    <w:pPr>
      <w:spacing w:before="160"/>
      <w:jc w:val="center"/>
    </w:pPr>
    <w:rPr>
      <w:i/>
      <w:iCs/>
      <w:color w:val="404040" w:themeColor="text1" w:themeTint="BF"/>
    </w:rPr>
  </w:style>
  <w:style w:type="character" w:customStyle="1" w:styleId="QuoteChar">
    <w:name w:val="Quote Char"/>
    <w:basedOn w:val="DefaultParagraphFont"/>
    <w:link w:val="Quote"/>
    <w:uiPriority w:val="29"/>
    <w:rsid w:val="006B7BE4"/>
    <w:rPr>
      <w:i/>
      <w:iCs/>
      <w:color w:val="404040" w:themeColor="text1" w:themeTint="BF"/>
    </w:rPr>
  </w:style>
  <w:style w:type="paragraph" w:styleId="ListParagraph">
    <w:name w:val="List Paragraph"/>
    <w:basedOn w:val="Normal"/>
    <w:uiPriority w:val="34"/>
    <w:qFormat/>
    <w:rsid w:val="006B7BE4"/>
    <w:pPr>
      <w:ind w:left="720"/>
      <w:contextualSpacing/>
    </w:pPr>
  </w:style>
  <w:style w:type="character" w:styleId="IntenseEmphasis">
    <w:name w:val="Intense Emphasis"/>
    <w:basedOn w:val="DefaultParagraphFont"/>
    <w:uiPriority w:val="21"/>
    <w:qFormat/>
    <w:rsid w:val="006B7BE4"/>
    <w:rPr>
      <w:i/>
      <w:iCs/>
      <w:color w:val="2F5496" w:themeColor="accent1" w:themeShade="BF"/>
    </w:rPr>
  </w:style>
  <w:style w:type="paragraph" w:styleId="IntenseQuote">
    <w:name w:val="Intense Quote"/>
    <w:basedOn w:val="Normal"/>
    <w:next w:val="Normal"/>
    <w:link w:val="IntenseQuoteChar"/>
    <w:uiPriority w:val="30"/>
    <w:qFormat/>
    <w:rsid w:val="006B7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7BE4"/>
    <w:rPr>
      <w:i/>
      <w:iCs/>
      <w:color w:val="2F5496" w:themeColor="accent1" w:themeShade="BF"/>
    </w:rPr>
  </w:style>
  <w:style w:type="character" w:styleId="IntenseReference">
    <w:name w:val="Intense Reference"/>
    <w:basedOn w:val="DefaultParagraphFont"/>
    <w:uiPriority w:val="32"/>
    <w:qFormat/>
    <w:rsid w:val="006B7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Nguy Thi Cam (PVDT\HRM)</dc:creator>
  <cp:keywords/>
  <dc:description/>
  <cp:lastModifiedBy>Vi, Nguy Thi Cam (PVDT\HRM)</cp:lastModifiedBy>
  <cp:revision>1</cp:revision>
  <dcterms:created xsi:type="dcterms:W3CDTF">2026-06-15T09:11:00Z</dcterms:created>
  <dcterms:modified xsi:type="dcterms:W3CDTF">2026-06-15T09:11:00Z</dcterms:modified>
</cp:coreProperties>
</file>